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BB" w:rsidRDefault="008170BB" w:rsidP="00FF4B85">
      <w:pPr>
        <w:jc w:val="center"/>
        <w:rPr>
          <w:b/>
        </w:rPr>
      </w:pPr>
    </w:p>
    <w:p w:rsidR="00FF4B85" w:rsidRDefault="00A76491" w:rsidP="00FF4B85">
      <w:pPr>
        <w:jc w:val="center"/>
        <w:rPr>
          <w:b/>
        </w:rPr>
      </w:pPr>
      <w:r w:rsidRPr="001B46AB">
        <w:rPr>
          <w:b/>
        </w:rPr>
        <w:t>Mentoring and Language Acquisition in Brazil</w:t>
      </w:r>
      <w:r>
        <w:rPr>
          <w:b/>
        </w:rPr>
        <w:t xml:space="preserve"> </w:t>
      </w:r>
      <w:r w:rsidR="00FF4B85">
        <w:rPr>
          <w:b/>
        </w:rPr>
        <w:t>2013-2014</w:t>
      </w:r>
    </w:p>
    <w:p w:rsidR="00A76491" w:rsidRDefault="00A76491" w:rsidP="00FF4B85">
      <w:pPr>
        <w:jc w:val="center"/>
        <w:rPr>
          <w:b/>
        </w:rPr>
      </w:pPr>
      <w:r>
        <w:rPr>
          <w:b/>
        </w:rPr>
        <w:t>Midyear Report</w:t>
      </w:r>
    </w:p>
    <w:p w:rsidR="00A76491" w:rsidRPr="000A21DF" w:rsidRDefault="00A76491" w:rsidP="00A76491">
      <w:pPr>
        <w:jc w:val="both"/>
        <w:rPr>
          <w:i/>
          <w:sz w:val="16"/>
          <w:szCs w:val="16"/>
        </w:rPr>
      </w:pPr>
    </w:p>
    <w:p w:rsidR="00FF4B85" w:rsidRPr="000B5505" w:rsidRDefault="00FF4B85" w:rsidP="00A76491">
      <w:pPr>
        <w:jc w:val="both"/>
        <w:rPr>
          <w:sz w:val="22"/>
          <w:szCs w:val="22"/>
        </w:rPr>
      </w:pPr>
      <w:r w:rsidRPr="000B5505">
        <w:rPr>
          <w:sz w:val="22"/>
          <w:szCs w:val="22"/>
        </w:rPr>
        <w:t>Virtual Mentorship Program Dates: October 2013 – May 2014</w:t>
      </w:r>
    </w:p>
    <w:p w:rsidR="00FF4B85" w:rsidRPr="000B5505" w:rsidRDefault="00FF4B85" w:rsidP="00A76491">
      <w:pPr>
        <w:jc w:val="both"/>
        <w:rPr>
          <w:sz w:val="22"/>
          <w:szCs w:val="22"/>
        </w:rPr>
      </w:pPr>
    </w:p>
    <w:p w:rsidR="00A76491" w:rsidRPr="0069761B" w:rsidRDefault="00FF4B85" w:rsidP="00A76491">
      <w:pPr>
        <w:jc w:val="both"/>
        <w:rPr>
          <w:i/>
          <w:sz w:val="22"/>
          <w:szCs w:val="22"/>
        </w:rPr>
      </w:pPr>
      <w:r w:rsidRPr="0069761B">
        <w:rPr>
          <w:sz w:val="22"/>
          <w:szCs w:val="22"/>
        </w:rPr>
        <w:t xml:space="preserve">January São Paulo </w:t>
      </w:r>
      <w:r w:rsidR="00A76491" w:rsidRPr="0069761B">
        <w:rPr>
          <w:sz w:val="22"/>
          <w:szCs w:val="22"/>
        </w:rPr>
        <w:t>Program Dates: January 20-24, 2014</w:t>
      </w:r>
      <w:r w:rsidRPr="0069761B">
        <w:rPr>
          <w:sz w:val="22"/>
          <w:szCs w:val="22"/>
        </w:rPr>
        <w:t xml:space="preserve"> </w:t>
      </w:r>
    </w:p>
    <w:p w:rsidR="00A76491" w:rsidRPr="0069761B" w:rsidRDefault="00A76491" w:rsidP="00A76491">
      <w:pPr>
        <w:jc w:val="both"/>
        <w:rPr>
          <w:sz w:val="22"/>
          <w:szCs w:val="22"/>
        </w:rPr>
      </w:pPr>
    </w:p>
    <w:p w:rsidR="00A76491" w:rsidRPr="000B5505" w:rsidRDefault="00A76491" w:rsidP="00A76491">
      <w:pPr>
        <w:jc w:val="both"/>
        <w:rPr>
          <w:sz w:val="22"/>
          <w:szCs w:val="22"/>
        </w:rPr>
      </w:pPr>
      <w:r w:rsidRPr="000B5505">
        <w:rPr>
          <w:sz w:val="22"/>
          <w:szCs w:val="22"/>
        </w:rPr>
        <w:t>Participants: 15 Harvard College students/15 Brazilian high school students</w:t>
      </w:r>
    </w:p>
    <w:p w:rsidR="00A76491" w:rsidRPr="000B5505" w:rsidRDefault="00A76491" w:rsidP="00A76491">
      <w:pPr>
        <w:jc w:val="both"/>
        <w:rPr>
          <w:sz w:val="22"/>
          <w:szCs w:val="22"/>
        </w:rPr>
      </w:pPr>
    </w:p>
    <w:p w:rsidR="000B5505" w:rsidRDefault="000B5505" w:rsidP="00A76491">
      <w:pPr>
        <w:jc w:val="both"/>
        <w:rPr>
          <w:sz w:val="22"/>
          <w:szCs w:val="22"/>
        </w:rPr>
      </w:pPr>
      <w:r w:rsidRPr="000B5505">
        <w:rPr>
          <w:sz w:val="22"/>
          <w:szCs w:val="22"/>
        </w:rPr>
        <w:t>Organizing Institution: Harvard University, Brazil Office - David Rockefeller Center for Latin American Studies</w:t>
      </w:r>
    </w:p>
    <w:p w:rsidR="001D5E08" w:rsidRPr="000B5505" w:rsidRDefault="001D5E08" w:rsidP="00A76491">
      <w:pPr>
        <w:jc w:val="both"/>
        <w:rPr>
          <w:sz w:val="22"/>
          <w:szCs w:val="22"/>
        </w:rPr>
      </w:pPr>
    </w:p>
    <w:p w:rsidR="00A76491" w:rsidRPr="000B5505" w:rsidRDefault="00A76491" w:rsidP="00A76491">
      <w:pPr>
        <w:jc w:val="both"/>
        <w:rPr>
          <w:sz w:val="22"/>
          <w:szCs w:val="22"/>
          <w:lang w:val="pt-BR"/>
        </w:rPr>
      </w:pPr>
      <w:r w:rsidRPr="000B5505">
        <w:rPr>
          <w:sz w:val="22"/>
          <w:szCs w:val="22"/>
          <w:lang w:val="pt-BR"/>
        </w:rPr>
        <w:t>Supporting Institutions: Colégio Ari de Sá; Colégio Bandeirantes; Colégio ETAPA; Primeira Chance</w:t>
      </w:r>
    </w:p>
    <w:p w:rsidR="00A76491" w:rsidRPr="000B5505" w:rsidRDefault="00A76491" w:rsidP="00A76491">
      <w:pPr>
        <w:jc w:val="both"/>
        <w:rPr>
          <w:sz w:val="22"/>
          <w:szCs w:val="22"/>
          <w:lang w:val="pt-BR"/>
        </w:rPr>
      </w:pPr>
    </w:p>
    <w:p w:rsidR="00A76491" w:rsidRPr="000B5505" w:rsidRDefault="00A76491" w:rsidP="00A76491">
      <w:pPr>
        <w:jc w:val="both"/>
        <w:rPr>
          <w:sz w:val="22"/>
          <w:szCs w:val="22"/>
          <w:lang w:val="pt-BR"/>
        </w:rPr>
      </w:pPr>
      <w:r w:rsidRPr="000B5505">
        <w:rPr>
          <w:sz w:val="22"/>
          <w:szCs w:val="22"/>
          <w:lang w:val="pt-BR"/>
        </w:rPr>
        <w:t>Program Partners: Fundação Estudar; ISMART; Fundação Lemann</w:t>
      </w:r>
    </w:p>
    <w:p w:rsidR="00A76491" w:rsidRPr="000A21DF" w:rsidRDefault="00A76491" w:rsidP="00A76491">
      <w:pPr>
        <w:jc w:val="both"/>
        <w:rPr>
          <w:sz w:val="16"/>
          <w:szCs w:val="16"/>
          <w:lang w:val="pt-BR"/>
        </w:rPr>
      </w:pPr>
    </w:p>
    <w:p w:rsidR="00A76491" w:rsidRPr="000B5505" w:rsidRDefault="00A76491" w:rsidP="00A76491">
      <w:pPr>
        <w:shd w:val="clear" w:color="auto" w:fill="FFFFFF"/>
        <w:jc w:val="both"/>
        <w:rPr>
          <w:rFonts w:asciiTheme="minorHAnsi" w:hAnsiTheme="minorHAnsi" w:cs="Arial"/>
          <w:sz w:val="22"/>
          <w:szCs w:val="22"/>
          <w:lang w:eastAsia="pt-BR"/>
        </w:rPr>
      </w:pPr>
      <w:r w:rsidRPr="000B5505">
        <w:rPr>
          <w:rFonts w:asciiTheme="minorHAnsi" w:hAnsiTheme="minorHAnsi" w:cs="Arial"/>
          <w:sz w:val="22"/>
          <w:szCs w:val="22"/>
          <w:lang w:eastAsia="pt-BR"/>
        </w:rPr>
        <w:t xml:space="preserve">The Mentoring and Language Acquisition in Brazil (MLAB) program aims to help reduce barriers for talented Brazilian youth with overwhelming potential and a strong desire to study in the world’s best universities. High-need, high-potential Brazilian students often lack sufficient English language skills and direct contact with role models who understand what it takes to make it to a place like Harvard. Harvard College mentors prepare and inspire Brazilian mentees to apply for college prep programs in Brazil and to top </w:t>
      </w:r>
      <w:r w:rsidR="009D2D66">
        <w:rPr>
          <w:rFonts w:asciiTheme="minorHAnsi" w:hAnsiTheme="minorHAnsi" w:cs="Arial"/>
          <w:sz w:val="22"/>
          <w:szCs w:val="22"/>
          <w:lang w:eastAsia="pt-BR"/>
        </w:rPr>
        <w:t xml:space="preserve">universities in the U.S through </w:t>
      </w:r>
      <w:r w:rsidRPr="000B5505">
        <w:rPr>
          <w:rFonts w:asciiTheme="minorHAnsi" w:hAnsiTheme="minorHAnsi" w:cs="Arial"/>
          <w:sz w:val="22"/>
          <w:szCs w:val="22"/>
          <w:lang w:eastAsia="pt-BR"/>
        </w:rPr>
        <w:t xml:space="preserve">weekly one-on-one distance mentoring </w:t>
      </w:r>
      <w:r w:rsidR="00FD3874">
        <w:rPr>
          <w:rFonts w:asciiTheme="minorHAnsi" w:hAnsiTheme="minorHAnsi" w:cs="Arial"/>
          <w:sz w:val="22"/>
          <w:szCs w:val="22"/>
          <w:lang w:eastAsia="pt-BR"/>
        </w:rPr>
        <w:t xml:space="preserve">in English </w:t>
      </w:r>
      <w:r w:rsidRPr="000B5505">
        <w:rPr>
          <w:rFonts w:asciiTheme="minorHAnsi" w:hAnsiTheme="minorHAnsi" w:cs="Arial"/>
          <w:sz w:val="22"/>
          <w:szCs w:val="22"/>
          <w:lang w:eastAsia="pt-BR"/>
        </w:rPr>
        <w:t>throughout the 2013-2014 year. </w:t>
      </w:r>
    </w:p>
    <w:p w:rsidR="00A76491" w:rsidRPr="000A21DF" w:rsidRDefault="00A76491" w:rsidP="00A76491">
      <w:pPr>
        <w:shd w:val="clear" w:color="auto" w:fill="FFFFFF"/>
        <w:ind w:firstLine="709"/>
        <w:jc w:val="both"/>
        <w:rPr>
          <w:rFonts w:asciiTheme="minorHAnsi" w:hAnsiTheme="minorHAnsi" w:cs="Arial"/>
          <w:sz w:val="16"/>
          <w:szCs w:val="16"/>
          <w:lang w:eastAsia="pt-BR"/>
        </w:rPr>
      </w:pPr>
    </w:p>
    <w:p w:rsidR="00A76491" w:rsidRDefault="00A76491" w:rsidP="00A76491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0B5505">
        <w:rPr>
          <w:rFonts w:asciiTheme="minorHAnsi" w:hAnsiTheme="minorHAnsi"/>
          <w:sz w:val="22"/>
          <w:szCs w:val="22"/>
          <w:shd w:val="clear" w:color="auto" w:fill="FFFFFF"/>
        </w:rPr>
        <w:t>From January 20-24, 2014, DRCLAS led the Mentoring and Language Acquisition in Brazil (MLAB) program in São Paulo for the second time. Following a semester of distance mentoring via Skype, 15 Harvard College students met their 15 Brazilian high school mentees and engaged in a structured program of educational and cultural exchange. In addition to outings and time for one-on-one interaction, the 30 MLAB participants had the opportunity to discuss life goals, values</w:t>
      </w:r>
      <w:r w:rsidR="009D2D66">
        <w:rPr>
          <w:rFonts w:asciiTheme="minorHAnsi" w:hAnsiTheme="minorHAnsi"/>
          <w:sz w:val="22"/>
          <w:szCs w:val="22"/>
          <w:shd w:val="clear" w:color="auto" w:fill="FFFFFF"/>
        </w:rPr>
        <w:t>,</w:t>
      </w:r>
      <w:r w:rsidRPr="000B5505">
        <w:rPr>
          <w:rFonts w:asciiTheme="minorHAnsi" w:hAnsiTheme="minorHAnsi"/>
          <w:sz w:val="22"/>
          <w:szCs w:val="22"/>
          <w:shd w:val="clear" w:color="auto" w:fill="FFFFFF"/>
        </w:rPr>
        <w:t xml:space="preserve"> and personal trajectories with Jorge Paulo </w:t>
      </w:r>
      <w:proofErr w:type="spellStart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>Lemann</w:t>
      </w:r>
      <w:proofErr w:type="spellEnd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 xml:space="preserve"> (</w:t>
      </w:r>
      <w:r w:rsidR="00FD3874">
        <w:rPr>
          <w:rFonts w:asciiTheme="minorHAnsi" w:hAnsiTheme="minorHAnsi"/>
          <w:sz w:val="22"/>
          <w:szCs w:val="22"/>
          <w:shd w:val="clear" w:color="auto" w:fill="FFFFFF"/>
        </w:rPr>
        <w:t xml:space="preserve">Harvard </w:t>
      </w:r>
      <w:r w:rsidRPr="000B5505">
        <w:rPr>
          <w:rFonts w:asciiTheme="minorHAnsi" w:hAnsiTheme="minorHAnsi"/>
          <w:sz w:val="22"/>
          <w:szCs w:val="22"/>
          <w:shd w:val="clear" w:color="auto" w:fill="FFFFFF"/>
        </w:rPr>
        <w:t>C</w:t>
      </w:r>
      <w:r w:rsidR="00FD3874">
        <w:rPr>
          <w:rFonts w:asciiTheme="minorHAnsi" w:hAnsiTheme="minorHAnsi"/>
          <w:sz w:val="22"/>
          <w:szCs w:val="22"/>
          <w:shd w:val="clear" w:color="auto" w:fill="FFFFFF"/>
        </w:rPr>
        <w:t xml:space="preserve">ollege ’61), </w:t>
      </w:r>
      <w:proofErr w:type="spellStart"/>
      <w:r w:rsidR="00FD3874">
        <w:rPr>
          <w:rFonts w:asciiTheme="minorHAnsi" w:hAnsiTheme="minorHAnsi"/>
          <w:sz w:val="22"/>
          <w:szCs w:val="22"/>
          <w:shd w:val="clear" w:color="auto" w:fill="FFFFFF"/>
        </w:rPr>
        <w:t>Flávia</w:t>
      </w:r>
      <w:proofErr w:type="spellEnd"/>
      <w:r w:rsidR="00FD3874">
        <w:rPr>
          <w:rFonts w:asciiTheme="minorHAnsi" w:hAnsiTheme="minorHAnsi"/>
          <w:sz w:val="22"/>
          <w:szCs w:val="22"/>
          <w:shd w:val="clear" w:color="auto" w:fill="FFFFFF"/>
        </w:rPr>
        <w:t xml:space="preserve"> Almeida (Harvard Business School</w:t>
      </w:r>
      <w:r w:rsidRPr="000B5505">
        <w:rPr>
          <w:rFonts w:asciiTheme="minorHAnsi" w:hAnsiTheme="minorHAnsi"/>
          <w:sz w:val="22"/>
          <w:szCs w:val="22"/>
          <w:shd w:val="clear" w:color="auto" w:fill="FFFFFF"/>
        </w:rPr>
        <w:t xml:space="preserve"> ’94; Harvard Board of Overseers),  Claudio </w:t>
      </w:r>
      <w:proofErr w:type="spellStart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>Sassaki</w:t>
      </w:r>
      <w:proofErr w:type="spellEnd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 xml:space="preserve"> (Founder of </w:t>
      </w:r>
      <w:proofErr w:type="spellStart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>Geekie</w:t>
      </w:r>
      <w:proofErr w:type="spellEnd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 xml:space="preserve">, an education start-up), and representatives from </w:t>
      </w:r>
      <w:proofErr w:type="spellStart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>Fundação</w:t>
      </w:r>
      <w:proofErr w:type="spellEnd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>Estudar</w:t>
      </w:r>
      <w:proofErr w:type="spellEnd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 xml:space="preserve">. Local partner organizations </w:t>
      </w:r>
      <w:r w:rsidR="006659EE" w:rsidRPr="000B5505">
        <w:rPr>
          <w:rFonts w:asciiTheme="minorHAnsi" w:hAnsiTheme="minorHAnsi"/>
          <w:sz w:val="22"/>
          <w:szCs w:val="22"/>
          <w:shd w:val="clear" w:color="auto" w:fill="FFFFFF"/>
        </w:rPr>
        <w:t>that</w:t>
      </w:r>
      <w:r w:rsidRPr="000B5505">
        <w:rPr>
          <w:rFonts w:asciiTheme="minorHAnsi" w:hAnsiTheme="minorHAnsi"/>
          <w:sz w:val="22"/>
          <w:szCs w:val="22"/>
          <w:shd w:val="clear" w:color="auto" w:fill="FFFFFF"/>
        </w:rPr>
        <w:t xml:space="preserve"> have made the program possible (</w:t>
      </w:r>
      <w:proofErr w:type="spellStart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>Colégio</w:t>
      </w:r>
      <w:proofErr w:type="spellEnd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>Bandeirantes</w:t>
      </w:r>
      <w:proofErr w:type="spellEnd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>Colégio</w:t>
      </w:r>
      <w:proofErr w:type="spellEnd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>Etapa</w:t>
      </w:r>
      <w:proofErr w:type="spellEnd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>Colégio</w:t>
      </w:r>
      <w:proofErr w:type="spellEnd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 xml:space="preserve"> Ari de </w:t>
      </w:r>
      <w:proofErr w:type="spellStart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>Sá</w:t>
      </w:r>
      <w:proofErr w:type="spellEnd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>Primeira</w:t>
      </w:r>
      <w:proofErr w:type="spellEnd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 xml:space="preserve"> Chance, </w:t>
      </w:r>
      <w:proofErr w:type="spellStart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>Fundação</w:t>
      </w:r>
      <w:proofErr w:type="spellEnd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>Estudar</w:t>
      </w:r>
      <w:proofErr w:type="spellEnd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>Fundação</w:t>
      </w:r>
      <w:proofErr w:type="spellEnd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>Lemann</w:t>
      </w:r>
      <w:proofErr w:type="spellEnd"/>
      <w:r w:rsidRPr="000B5505">
        <w:rPr>
          <w:rFonts w:asciiTheme="minorHAnsi" w:hAnsiTheme="minorHAnsi"/>
          <w:sz w:val="22"/>
          <w:szCs w:val="22"/>
          <w:shd w:val="clear" w:color="auto" w:fill="FFFFFF"/>
        </w:rPr>
        <w:t>, and ISMART) actively engaged in and supported the program throughout the week. MLAB continues through the end of 2013-2014 with distance mentoring and virtual group meetings.</w:t>
      </w:r>
    </w:p>
    <w:p w:rsidR="006659EE" w:rsidRPr="000A21DF" w:rsidRDefault="006659EE" w:rsidP="00A76491">
      <w:pPr>
        <w:jc w:val="both"/>
        <w:rPr>
          <w:rFonts w:asciiTheme="minorHAnsi" w:hAnsiTheme="minorHAnsi"/>
          <w:sz w:val="16"/>
          <w:szCs w:val="16"/>
          <w:shd w:val="clear" w:color="auto" w:fill="FFFFFF"/>
        </w:rPr>
      </w:pPr>
    </w:p>
    <w:p w:rsidR="006659EE" w:rsidRPr="00F12B09" w:rsidRDefault="0098433D" w:rsidP="006659EE">
      <w:pPr>
        <w:jc w:val="center"/>
        <w:rPr>
          <w:b/>
        </w:rPr>
      </w:pPr>
      <w:r>
        <w:rPr>
          <w:b/>
        </w:rPr>
        <w:t>MLAB OVER</w:t>
      </w:r>
      <w:r w:rsidR="004873B0">
        <w:rPr>
          <w:b/>
        </w:rPr>
        <w:t>ALL</w:t>
      </w:r>
    </w:p>
    <w:p w:rsidR="006659EE" w:rsidRPr="00F12B09" w:rsidRDefault="006659EE" w:rsidP="006659EE">
      <w:pPr>
        <w:jc w:val="center"/>
        <w:rPr>
          <w:i/>
          <w:sz w:val="20"/>
          <w:szCs w:val="20"/>
          <w:shd w:val="clear" w:color="auto" w:fill="FFFFFF"/>
        </w:rPr>
      </w:pPr>
      <w:r w:rsidRPr="00F12B09">
        <w:rPr>
          <w:i/>
          <w:sz w:val="20"/>
          <w:szCs w:val="20"/>
          <w:shd w:val="clear" w:color="auto" w:fill="FFFFFF"/>
        </w:rPr>
        <w:t xml:space="preserve">Number of </w:t>
      </w:r>
      <w:r w:rsidR="0098433D">
        <w:rPr>
          <w:i/>
          <w:sz w:val="20"/>
          <w:szCs w:val="20"/>
          <w:shd w:val="clear" w:color="auto" w:fill="FFFFFF"/>
        </w:rPr>
        <w:t>Respondents = 30</w:t>
      </w:r>
    </w:p>
    <w:p w:rsidR="00A76491" w:rsidRPr="000A21DF" w:rsidRDefault="00A76491" w:rsidP="00A7580D">
      <w:pPr>
        <w:jc w:val="center"/>
        <w:rPr>
          <w:sz w:val="16"/>
          <w:szCs w:val="16"/>
          <w:shd w:val="clear" w:color="auto" w:fill="FFFFFF"/>
        </w:rPr>
      </w:pPr>
    </w:p>
    <w:tbl>
      <w:tblPr>
        <w:tblW w:w="108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4996"/>
      </w:tblGrid>
      <w:tr w:rsidR="00A76491" w:rsidRPr="00F83CE8" w:rsidTr="000A21DF">
        <w:trPr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6491" w:rsidRPr="000A21DF" w:rsidRDefault="00A76491" w:rsidP="00A76491">
            <w:pPr>
              <w:rPr>
                <w:i/>
                <w:sz w:val="20"/>
                <w:szCs w:val="20"/>
              </w:rPr>
            </w:pPr>
            <w:r w:rsidRPr="000A21DF">
              <w:rPr>
                <w:i/>
                <w:sz w:val="20"/>
                <w:szCs w:val="20"/>
              </w:rPr>
              <w:t>Overall rating of the</w:t>
            </w:r>
            <w:r w:rsidR="00FF4B85" w:rsidRPr="000A21DF">
              <w:rPr>
                <w:i/>
                <w:sz w:val="20"/>
                <w:szCs w:val="20"/>
              </w:rPr>
              <w:t xml:space="preserve"> MLAB</w:t>
            </w:r>
            <w:r w:rsidRPr="000A21DF">
              <w:rPr>
                <w:i/>
                <w:sz w:val="20"/>
                <w:szCs w:val="20"/>
              </w:rPr>
              <w:t xml:space="preserve"> program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491" w:rsidRPr="000A21DF" w:rsidRDefault="00834769" w:rsidP="00361AD3">
            <w:pPr>
              <w:rPr>
                <w:i/>
                <w:sz w:val="20"/>
                <w:szCs w:val="20"/>
              </w:rPr>
            </w:pPr>
            <w:r w:rsidRPr="000A21DF">
              <w:rPr>
                <w:i/>
                <w:sz w:val="20"/>
                <w:szCs w:val="20"/>
              </w:rPr>
              <w:t>% Rated 4 or 5 (0=worst,</w:t>
            </w:r>
            <w:r w:rsidR="00A76491" w:rsidRPr="000A21DF">
              <w:rPr>
                <w:i/>
                <w:sz w:val="20"/>
                <w:szCs w:val="20"/>
              </w:rPr>
              <w:t xml:space="preserve"> 5 = </w:t>
            </w:r>
            <w:r w:rsidRPr="000A21DF">
              <w:rPr>
                <w:i/>
                <w:sz w:val="20"/>
                <w:szCs w:val="20"/>
              </w:rPr>
              <w:t>best</w:t>
            </w:r>
            <w:r w:rsidR="00A76491" w:rsidRPr="000A21DF">
              <w:rPr>
                <w:i/>
                <w:sz w:val="20"/>
                <w:szCs w:val="20"/>
              </w:rPr>
              <w:t>)</w:t>
            </w:r>
            <w:r w:rsidRPr="000A21D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76491" w:rsidRPr="00F83CE8" w:rsidTr="000A21DF">
        <w:trPr>
          <w:trHeight w:val="333"/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491" w:rsidRPr="000A21DF" w:rsidRDefault="00A76491" w:rsidP="00876886">
            <w:pPr>
              <w:rPr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491" w:rsidRPr="000A21DF" w:rsidRDefault="00A76491" w:rsidP="00876886">
            <w:pPr>
              <w:rPr>
                <w:sz w:val="20"/>
                <w:szCs w:val="20"/>
              </w:rPr>
            </w:pPr>
            <w:r w:rsidRPr="000A21DF">
              <w:rPr>
                <w:sz w:val="20"/>
                <w:szCs w:val="20"/>
              </w:rPr>
              <w:t>100%</w:t>
            </w:r>
          </w:p>
        </w:tc>
      </w:tr>
      <w:tr w:rsidR="00A76491" w:rsidRPr="00F83CE8" w:rsidTr="000A21DF">
        <w:trPr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6491" w:rsidRPr="000A21DF" w:rsidRDefault="00361AD3" w:rsidP="00876886">
            <w:pPr>
              <w:rPr>
                <w:i/>
                <w:sz w:val="20"/>
                <w:szCs w:val="20"/>
              </w:rPr>
            </w:pPr>
            <w:r w:rsidRPr="000A21DF">
              <w:rPr>
                <w:i/>
                <w:sz w:val="20"/>
                <w:szCs w:val="20"/>
              </w:rPr>
              <w:t>Would you recommend this program to other students?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491" w:rsidRPr="000A21DF" w:rsidRDefault="00834769" w:rsidP="00834769">
            <w:pPr>
              <w:rPr>
                <w:i/>
                <w:sz w:val="20"/>
                <w:szCs w:val="20"/>
              </w:rPr>
            </w:pPr>
            <w:r w:rsidRPr="000A21DF">
              <w:rPr>
                <w:i/>
                <w:sz w:val="20"/>
                <w:szCs w:val="20"/>
              </w:rPr>
              <w:t xml:space="preserve">% </w:t>
            </w:r>
            <w:r w:rsidR="00FF4B85" w:rsidRPr="000A21DF">
              <w:rPr>
                <w:i/>
                <w:sz w:val="20"/>
                <w:szCs w:val="20"/>
              </w:rPr>
              <w:t>Responded “</w:t>
            </w:r>
            <w:r w:rsidR="00A76491" w:rsidRPr="000A21DF">
              <w:rPr>
                <w:i/>
                <w:sz w:val="20"/>
                <w:szCs w:val="20"/>
              </w:rPr>
              <w:t>Definitely</w:t>
            </w:r>
            <w:r w:rsidRPr="000A21DF">
              <w:rPr>
                <w:i/>
                <w:sz w:val="20"/>
                <w:szCs w:val="20"/>
              </w:rPr>
              <w:t xml:space="preserve"> Would</w:t>
            </w:r>
            <w:r w:rsidR="00FF4B85" w:rsidRPr="000A21DF">
              <w:rPr>
                <w:i/>
                <w:sz w:val="20"/>
                <w:szCs w:val="20"/>
              </w:rPr>
              <w:t>”</w:t>
            </w:r>
          </w:p>
        </w:tc>
      </w:tr>
      <w:tr w:rsidR="00A76491" w:rsidRPr="00F83CE8" w:rsidTr="000A21DF">
        <w:trPr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491" w:rsidRPr="000A21DF" w:rsidRDefault="00A76491" w:rsidP="00876886">
            <w:pPr>
              <w:rPr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491" w:rsidRPr="000A21DF" w:rsidRDefault="00A76491" w:rsidP="00876886">
            <w:pPr>
              <w:rPr>
                <w:sz w:val="20"/>
                <w:szCs w:val="20"/>
              </w:rPr>
            </w:pPr>
            <w:r w:rsidRPr="000A21DF">
              <w:rPr>
                <w:sz w:val="20"/>
                <w:szCs w:val="20"/>
              </w:rPr>
              <w:t>100%</w:t>
            </w:r>
          </w:p>
        </w:tc>
      </w:tr>
      <w:tr w:rsidR="00361AD3" w:rsidRPr="00F83CE8" w:rsidTr="000A21DF">
        <w:trPr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1AD3" w:rsidRPr="000A21DF" w:rsidRDefault="00FF4B85" w:rsidP="00876886">
            <w:pPr>
              <w:rPr>
                <w:i/>
                <w:sz w:val="20"/>
                <w:szCs w:val="20"/>
              </w:rPr>
            </w:pPr>
            <w:r w:rsidRPr="000A21DF">
              <w:rPr>
                <w:i/>
                <w:sz w:val="20"/>
                <w:szCs w:val="20"/>
              </w:rPr>
              <w:t>Please provide an overall rating for the virtual mentorship program.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1AD3" w:rsidRPr="000A21DF" w:rsidRDefault="00E2524E" w:rsidP="00876886">
            <w:pPr>
              <w:rPr>
                <w:i/>
                <w:sz w:val="20"/>
                <w:szCs w:val="20"/>
              </w:rPr>
            </w:pPr>
            <w:r w:rsidRPr="000A21DF">
              <w:rPr>
                <w:i/>
                <w:sz w:val="20"/>
                <w:szCs w:val="20"/>
              </w:rPr>
              <w:t>% Rated 4 or 5 (0=worst, 5 = best)</w:t>
            </w:r>
          </w:p>
        </w:tc>
      </w:tr>
      <w:tr w:rsidR="00361AD3" w:rsidRPr="00F83CE8" w:rsidTr="000A21DF">
        <w:trPr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1AD3" w:rsidRPr="000A21DF" w:rsidRDefault="00361AD3" w:rsidP="00FF4B85">
            <w:pPr>
              <w:rPr>
                <w:i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D3" w:rsidRPr="000A21DF" w:rsidRDefault="00FD66A0" w:rsidP="00876886">
            <w:pPr>
              <w:rPr>
                <w:sz w:val="20"/>
                <w:szCs w:val="20"/>
              </w:rPr>
            </w:pPr>
            <w:r w:rsidRPr="000A21DF">
              <w:rPr>
                <w:sz w:val="20"/>
                <w:szCs w:val="20"/>
              </w:rPr>
              <w:t>90.3</w:t>
            </w:r>
            <w:r w:rsidR="00361AD3" w:rsidRPr="000A21DF">
              <w:rPr>
                <w:sz w:val="20"/>
                <w:szCs w:val="20"/>
              </w:rPr>
              <w:t>%</w:t>
            </w:r>
          </w:p>
        </w:tc>
      </w:tr>
      <w:tr w:rsidR="00361AD3" w:rsidRPr="00F83CE8" w:rsidTr="000A21DF">
        <w:trPr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1AD3" w:rsidRPr="000A21DF" w:rsidRDefault="00FF4B85" w:rsidP="00876886">
            <w:pPr>
              <w:rPr>
                <w:i/>
                <w:sz w:val="20"/>
                <w:szCs w:val="20"/>
              </w:rPr>
            </w:pPr>
            <w:r w:rsidRPr="000A21DF">
              <w:rPr>
                <w:i/>
                <w:sz w:val="20"/>
                <w:szCs w:val="20"/>
              </w:rPr>
              <w:t>Please provide an overall rating for the January program.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1AD3" w:rsidRPr="000A21DF" w:rsidRDefault="001521D3" w:rsidP="00876886">
            <w:pPr>
              <w:rPr>
                <w:i/>
                <w:sz w:val="20"/>
                <w:szCs w:val="20"/>
              </w:rPr>
            </w:pPr>
            <w:r w:rsidRPr="000A21DF">
              <w:rPr>
                <w:i/>
                <w:sz w:val="20"/>
                <w:szCs w:val="20"/>
              </w:rPr>
              <w:t>% Rated 4 or 5 (0=worst, 5 = best)</w:t>
            </w:r>
          </w:p>
        </w:tc>
      </w:tr>
      <w:tr w:rsidR="00E2524E" w:rsidRPr="00F83CE8" w:rsidTr="000A21DF">
        <w:trPr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524E" w:rsidRPr="000A21DF" w:rsidRDefault="00E2524E" w:rsidP="00876886">
            <w:pPr>
              <w:rPr>
                <w:i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24E" w:rsidRPr="000A21DF" w:rsidRDefault="00E2524E" w:rsidP="00876886">
            <w:pPr>
              <w:rPr>
                <w:sz w:val="20"/>
                <w:szCs w:val="20"/>
              </w:rPr>
            </w:pPr>
            <w:r w:rsidRPr="000A21DF">
              <w:rPr>
                <w:sz w:val="20"/>
                <w:szCs w:val="20"/>
              </w:rPr>
              <w:t>100%</w:t>
            </w:r>
          </w:p>
        </w:tc>
      </w:tr>
      <w:tr w:rsidR="000E1488" w:rsidRPr="00F83CE8" w:rsidTr="000A21DF">
        <w:trPr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1488" w:rsidRPr="000A21DF" w:rsidRDefault="000E1488" w:rsidP="0053388F">
            <w:pPr>
              <w:rPr>
                <w:i/>
                <w:sz w:val="20"/>
                <w:szCs w:val="20"/>
              </w:rPr>
            </w:pPr>
            <w:r w:rsidRPr="000A21DF">
              <w:rPr>
                <w:i/>
                <w:sz w:val="20"/>
                <w:szCs w:val="20"/>
              </w:rPr>
              <w:t>Has the program improved your English/Portuguese language skills?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1488" w:rsidRPr="000A21DF" w:rsidRDefault="000E1488" w:rsidP="0053388F">
            <w:pPr>
              <w:rPr>
                <w:i/>
                <w:sz w:val="20"/>
                <w:szCs w:val="20"/>
              </w:rPr>
            </w:pPr>
            <w:r w:rsidRPr="000A21DF">
              <w:rPr>
                <w:i/>
                <w:sz w:val="20"/>
                <w:szCs w:val="20"/>
              </w:rPr>
              <w:t>% Responded “Yes”</w:t>
            </w:r>
          </w:p>
        </w:tc>
      </w:tr>
      <w:tr w:rsidR="000E1488" w:rsidRPr="00F83CE8" w:rsidTr="000A21DF">
        <w:trPr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1488" w:rsidRPr="000A21DF" w:rsidRDefault="000E1488" w:rsidP="0053388F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488" w:rsidRPr="000A21DF" w:rsidRDefault="000E1488" w:rsidP="0053388F">
            <w:pPr>
              <w:rPr>
                <w:sz w:val="20"/>
                <w:szCs w:val="20"/>
              </w:rPr>
            </w:pPr>
            <w:r w:rsidRPr="000A21DF">
              <w:rPr>
                <w:sz w:val="20"/>
                <w:szCs w:val="20"/>
              </w:rPr>
              <w:t>100%</w:t>
            </w:r>
          </w:p>
        </w:tc>
      </w:tr>
    </w:tbl>
    <w:p w:rsidR="008170BB" w:rsidRDefault="008170BB">
      <w:r>
        <w:lastRenderedPageBreak/>
        <w:t xml:space="preserve"> </w:t>
      </w:r>
      <w:r w:rsidR="000B5505">
        <w:t xml:space="preserve">  </w:t>
      </w:r>
      <w:r>
        <w:t xml:space="preserve">  </w:t>
      </w:r>
      <w:r>
        <w:rPr>
          <w:noProof/>
          <w:lang w:val="pt-BR" w:eastAsia="pt-BR"/>
        </w:rPr>
        <w:drawing>
          <wp:inline distT="0" distB="0" distL="0" distR="0" wp14:anchorId="64179B41" wp14:editId="78AC05EB">
            <wp:extent cx="2947554" cy="2486025"/>
            <wp:effectExtent l="38100" t="38100" r="43815" b="28575"/>
            <wp:docPr id="2" name="Picture 2" descr="C:\Users\Isamar\Downloads\IMG_7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amar\Downloads\IMG_7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1" r="8655"/>
                    <a:stretch/>
                  </pic:blipFill>
                  <pic:spPr bwMode="auto">
                    <a:xfrm>
                      <a:off x="0" y="0"/>
                      <a:ext cx="2954241" cy="24916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5505">
        <w:t xml:space="preserve">  </w:t>
      </w:r>
      <w:r>
        <w:t xml:space="preserve">      </w:t>
      </w:r>
      <w:r w:rsidR="003B11EA">
        <w:rPr>
          <w:noProof/>
          <w:lang w:val="pt-BR" w:eastAsia="pt-BR"/>
        </w:rPr>
        <w:drawing>
          <wp:inline distT="0" distB="0" distL="0" distR="0">
            <wp:extent cx="2762250" cy="2482849"/>
            <wp:effectExtent l="38100" t="38100" r="38100" b="32385"/>
            <wp:docPr id="8" name="Picture 8" descr="C:\Users\Isamar\Downloads\IMG_6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mar\Downloads\IMG_6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5" t="762" r="15990" b="1"/>
                    <a:stretch/>
                  </pic:blipFill>
                  <pic:spPr bwMode="auto">
                    <a:xfrm>
                      <a:off x="0" y="0"/>
                      <a:ext cx="2762250" cy="2482849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11EA" w:rsidRPr="003B11EA">
        <w:rPr>
          <w:noProof/>
          <w:lang w:val="pt-BR" w:eastAsia="pt-BR"/>
        </w:rPr>
        <w:t xml:space="preserve"> </w:t>
      </w:r>
    </w:p>
    <w:p w:rsidR="008170BB" w:rsidRDefault="00A008CC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F0246" wp14:editId="42272054">
                <wp:simplePos x="0" y="0"/>
                <wp:positionH relativeFrom="column">
                  <wp:posOffset>3602990</wp:posOffset>
                </wp:positionH>
                <wp:positionV relativeFrom="paragraph">
                  <wp:posOffset>107315</wp:posOffset>
                </wp:positionV>
                <wp:extent cx="2552700" cy="7143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505" w:rsidRPr="000B5505" w:rsidRDefault="000B5505" w:rsidP="000B550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B5505">
                              <w:rPr>
                                <w:i/>
                                <w:sz w:val="20"/>
                                <w:szCs w:val="20"/>
                              </w:rPr>
                              <w:t>Guilherme</w:t>
                            </w:r>
                            <w:proofErr w:type="spellEnd"/>
                            <w:r w:rsidRPr="000B550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B5505">
                              <w:rPr>
                                <w:i/>
                                <w:sz w:val="20"/>
                                <w:szCs w:val="20"/>
                              </w:rPr>
                              <w:t>Quadros</w:t>
                            </w:r>
                            <w:proofErr w:type="spellEnd"/>
                            <w:r w:rsidRPr="000B550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B5505">
                              <w:rPr>
                                <w:i/>
                                <w:sz w:val="20"/>
                                <w:szCs w:val="20"/>
                              </w:rPr>
                              <w:t>Calazans</w:t>
                            </w:r>
                            <w:proofErr w:type="spellEnd"/>
                            <w:r w:rsidRPr="000B550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0B5505">
                              <w:rPr>
                                <w:i/>
                                <w:sz w:val="20"/>
                                <w:szCs w:val="20"/>
                              </w:rPr>
                              <w:t>Bandeirantes</w:t>
                            </w:r>
                            <w:proofErr w:type="spellEnd"/>
                            <w:r w:rsidRPr="000B5505">
                              <w:rPr>
                                <w:i/>
                                <w:sz w:val="20"/>
                                <w:szCs w:val="20"/>
                              </w:rPr>
                              <w:t>, ISMART)</w:t>
                            </w:r>
                            <w:r w:rsidR="001D5E08">
                              <w:rPr>
                                <w:i/>
                                <w:sz w:val="20"/>
                                <w:szCs w:val="20"/>
                              </w:rPr>
                              <w:t>, Kevin Iwashita (ETAPA), and Andrew Vincent</w:t>
                            </w:r>
                            <w:r w:rsidRPr="000B550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(Harvard) </w:t>
                            </w:r>
                            <w:r w:rsidR="001D5E08">
                              <w:rPr>
                                <w:i/>
                                <w:sz w:val="20"/>
                                <w:szCs w:val="20"/>
                              </w:rPr>
                              <w:t>enjoy lunch at the Mercado Municipal.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3.7pt;margin-top:8.45pt;width:201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" fillcolor="white [3201]" stroked="f" strokeweight=".5pt">
                <v:textbox>
                  <w:txbxContent>
                    <w:p w:rsidR="000B5505" w:rsidRPr="000B5505" w:rsidRDefault="000B5505" w:rsidP="000B550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0B5505">
                        <w:rPr>
                          <w:i/>
                          <w:sz w:val="20"/>
                          <w:szCs w:val="20"/>
                        </w:rPr>
                        <w:t>Guilherme</w:t>
                      </w:r>
                      <w:proofErr w:type="spellEnd"/>
                      <w:r w:rsidRPr="000B5505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B5505">
                        <w:rPr>
                          <w:i/>
                          <w:sz w:val="20"/>
                          <w:szCs w:val="20"/>
                        </w:rPr>
                        <w:t>Quadros</w:t>
                      </w:r>
                      <w:proofErr w:type="spellEnd"/>
                      <w:r w:rsidRPr="000B5505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B5505">
                        <w:rPr>
                          <w:i/>
                          <w:sz w:val="20"/>
                          <w:szCs w:val="20"/>
                        </w:rPr>
                        <w:t>Calazans</w:t>
                      </w:r>
                      <w:proofErr w:type="spellEnd"/>
                      <w:r w:rsidRPr="000B5505">
                        <w:rPr>
                          <w:i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0B5505">
                        <w:rPr>
                          <w:i/>
                          <w:sz w:val="20"/>
                          <w:szCs w:val="20"/>
                        </w:rPr>
                        <w:t>Bandeirantes</w:t>
                      </w:r>
                      <w:proofErr w:type="spellEnd"/>
                      <w:r w:rsidRPr="000B5505">
                        <w:rPr>
                          <w:i/>
                          <w:sz w:val="20"/>
                          <w:szCs w:val="20"/>
                        </w:rPr>
                        <w:t>, ISMART)</w:t>
                      </w:r>
                      <w:r w:rsidR="001D5E08">
                        <w:rPr>
                          <w:i/>
                          <w:sz w:val="20"/>
                          <w:szCs w:val="20"/>
                        </w:rPr>
                        <w:t>, Kevin Iwashita (ETAPA), and Andrew Vincent</w:t>
                      </w:r>
                      <w:r w:rsidRPr="000B5505">
                        <w:rPr>
                          <w:i/>
                          <w:sz w:val="20"/>
                          <w:szCs w:val="20"/>
                        </w:rPr>
                        <w:t xml:space="preserve"> (Harvard) </w:t>
                      </w:r>
                      <w:r w:rsidR="001D5E08">
                        <w:rPr>
                          <w:i/>
                          <w:sz w:val="20"/>
                          <w:szCs w:val="20"/>
                        </w:rPr>
                        <w:t>enjoy lunch at the Mercado Municipal.</w:t>
                      </w:r>
                    </w:p>
                  </w:txbxContent>
                </v:textbox>
              </v:shape>
            </w:pict>
          </mc:Fallback>
        </mc:AlternateContent>
      </w:r>
      <w:r w:rsidR="000B550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83DA1" wp14:editId="3821469F">
                <wp:simplePos x="0" y="0"/>
                <wp:positionH relativeFrom="column">
                  <wp:posOffset>393065</wp:posOffset>
                </wp:positionH>
                <wp:positionV relativeFrom="paragraph">
                  <wp:posOffset>97790</wp:posOffset>
                </wp:positionV>
                <wp:extent cx="2552700" cy="723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505" w:rsidRPr="000B5505" w:rsidRDefault="000B5505">
                            <w:pPr>
                              <w:rPr>
                                <w:i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pt-BR"/>
                              </w:rPr>
                              <w:t>Joany D’avila de Oliveira Silva (Bandeirantes, ISMART), Amanda Rodrigues (Harvard), and Camila Marques de Oliveira (ETAPA) pose for a quick photo in São Paulo.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0.95pt;margin-top:7.7pt;width:20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" fillcolor="white [3201]" stroked="f" strokeweight=".5pt">
                <v:textbox>
                  <w:txbxContent>
                    <w:p w:rsidR="000B5505" w:rsidRPr="000B5505" w:rsidRDefault="000B5505">
                      <w:pPr>
                        <w:rPr>
                          <w:i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pt-BR"/>
                        </w:rPr>
                        <w:t>Joany D’avila de Oliveira Silva (Bandeirantes, ISMART), Amanda Rodrigues (Harvard), and Camila Marques de Oliveira (ETAPA) pose for a quick photo in São Paulo.</w:t>
                      </w:r>
                    </w:p>
                  </w:txbxContent>
                </v:textbox>
              </v:shape>
            </w:pict>
          </mc:Fallback>
        </mc:AlternateContent>
      </w:r>
    </w:p>
    <w:p w:rsidR="008170BB" w:rsidRDefault="008170BB"/>
    <w:p w:rsidR="008170BB" w:rsidRDefault="008170BB"/>
    <w:p w:rsidR="008170BB" w:rsidRDefault="008170BB"/>
    <w:p w:rsidR="008170BB" w:rsidRDefault="008170BB"/>
    <w:p w:rsidR="008170BB" w:rsidRDefault="008170BB"/>
    <w:p w:rsidR="008170BB" w:rsidRPr="00E12CDB" w:rsidRDefault="008170BB">
      <w:pPr>
        <w:rPr>
          <w:rFonts w:asciiTheme="minorHAnsi" w:hAnsiTheme="minorHAnsi"/>
          <w:noProof/>
          <w:lang w:eastAsia="pt-BR"/>
        </w:rPr>
      </w:pPr>
      <w:r w:rsidRPr="00E12CDB">
        <w:rPr>
          <w:rFonts w:asciiTheme="minorHAnsi" w:hAnsiTheme="minorHAnsi"/>
          <w:noProof/>
          <w:lang w:eastAsia="pt-BR"/>
        </w:rPr>
        <w:t xml:space="preserve">   </w:t>
      </w:r>
      <w:r w:rsidRPr="0060200D">
        <w:rPr>
          <w:rFonts w:asciiTheme="minorHAnsi" w:hAnsiTheme="minorHAnsi"/>
          <w:noProof/>
          <w:lang w:val="pt-BR" w:eastAsia="pt-BR"/>
        </w:rPr>
        <w:drawing>
          <wp:inline distT="0" distB="0" distL="0" distR="0" wp14:anchorId="7E704080" wp14:editId="33675753">
            <wp:extent cx="3078837" cy="1285720"/>
            <wp:effectExtent l="38100" t="38100" r="45720" b="292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dao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2" b="27302"/>
                    <a:stretch/>
                  </pic:blipFill>
                  <pic:spPr bwMode="auto">
                    <a:xfrm>
                      <a:off x="0" y="0"/>
                      <a:ext cx="3081744" cy="1286934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2CDB">
        <w:rPr>
          <w:rFonts w:asciiTheme="minorHAnsi" w:hAnsiTheme="minorHAnsi"/>
          <w:noProof/>
          <w:lang w:eastAsia="pt-BR"/>
        </w:rPr>
        <w:t xml:space="preserve">    </w:t>
      </w:r>
      <w:r w:rsidRPr="0060200D">
        <w:rPr>
          <w:rFonts w:asciiTheme="minorHAnsi" w:hAnsiTheme="minorHAnsi"/>
          <w:noProof/>
          <w:lang w:val="pt-BR" w:eastAsia="pt-BR"/>
        </w:rPr>
        <w:drawing>
          <wp:inline distT="0" distB="0" distL="0" distR="0" wp14:anchorId="1E8DE97D" wp14:editId="45432E30">
            <wp:extent cx="2876599" cy="1266825"/>
            <wp:effectExtent l="38100" t="38100" r="3810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dao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9" b="17153"/>
                    <a:stretch/>
                  </pic:blipFill>
                  <pic:spPr bwMode="auto">
                    <a:xfrm>
                      <a:off x="0" y="0"/>
                      <a:ext cx="2887449" cy="1271603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0BB" w:rsidRPr="00E12CDB" w:rsidRDefault="000B5505">
      <w:pPr>
        <w:rPr>
          <w:rFonts w:asciiTheme="minorHAnsi" w:hAnsiTheme="minorHAnsi"/>
          <w:noProof/>
          <w:lang w:eastAsia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69ED1" wp14:editId="1D47901E">
                <wp:simplePos x="0" y="0"/>
                <wp:positionH relativeFrom="column">
                  <wp:posOffset>3602990</wp:posOffset>
                </wp:positionH>
                <wp:positionV relativeFrom="paragraph">
                  <wp:posOffset>114935</wp:posOffset>
                </wp:positionV>
                <wp:extent cx="2552700" cy="5905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505" w:rsidRPr="000B5505" w:rsidRDefault="000B5505" w:rsidP="000B550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550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MLAB mentees and mentors have fun taking </w:t>
                            </w:r>
                            <w:r w:rsidR="00A008CC">
                              <w:rPr>
                                <w:i/>
                                <w:sz w:val="20"/>
                                <w:szCs w:val="20"/>
                              </w:rPr>
                              <w:t>photos</w:t>
                            </w:r>
                            <w:r w:rsidRPr="000B550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for the </w:t>
                            </w:r>
                            <w:proofErr w:type="spellStart"/>
                            <w:r w:rsidRPr="000B5505">
                              <w:rPr>
                                <w:i/>
                                <w:sz w:val="20"/>
                                <w:szCs w:val="20"/>
                              </w:rPr>
                              <w:t>Estad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ão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photographer outside the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Museu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Afro-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Brasil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83.7pt;margin-top:9.05pt;width:201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" fillcolor="white [3201]" stroked="f" strokeweight=".5pt">
                <v:textbox>
                  <w:txbxContent>
                    <w:p w:rsidR="000B5505" w:rsidRPr="000B5505" w:rsidRDefault="000B5505" w:rsidP="000B550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B5505">
                        <w:rPr>
                          <w:i/>
                          <w:sz w:val="20"/>
                          <w:szCs w:val="20"/>
                        </w:rPr>
                        <w:t xml:space="preserve">MLAB mentees and mentors have fun taking </w:t>
                      </w:r>
                      <w:r w:rsidR="00A008CC">
                        <w:rPr>
                          <w:i/>
                          <w:sz w:val="20"/>
                          <w:szCs w:val="20"/>
                        </w:rPr>
                        <w:t>photos</w:t>
                      </w:r>
                      <w:r w:rsidRPr="000B5505">
                        <w:rPr>
                          <w:i/>
                          <w:sz w:val="20"/>
                          <w:szCs w:val="20"/>
                        </w:rPr>
                        <w:t xml:space="preserve"> for the </w:t>
                      </w:r>
                      <w:proofErr w:type="spellStart"/>
                      <w:r w:rsidRPr="000B5505">
                        <w:rPr>
                          <w:i/>
                          <w:sz w:val="20"/>
                          <w:szCs w:val="20"/>
                        </w:rPr>
                        <w:t>Estad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ão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photographer outside the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Museu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Afro-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Brasil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72556" wp14:editId="65503679">
                <wp:simplePos x="0" y="0"/>
                <wp:positionH relativeFrom="column">
                  <wp:posOffset>393065</wp:posOffset>
                </wp:positionH>
                <wp:positionV relativeFrom="paragraph">
                  <wp:posOffset>114935</wp:posOffset>
                </wp:positionV>
                <wp:extent cx="2552700" cy="714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505" w:rsidRPr="000B5505" w:rsidRDefault="000B5505" w:rsidP="000B5505">
                            <w:pPr>
                              <w:rPr>
                                <w:i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pt-BR"/>
                              </w:rPr>
                              <w:t>Rodrigo Silva Ferreira (Ari de Sá, Primeira Chance) and his mentor Rainjade Chung (Harvard) enjoy their time at the Museu do Futebol.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0.95pt;margin-top:9.05pt;width:201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" fillcolor="white [3201]" stroked="f" strokeweight=".5pt">
                <v:textbox>
                  <w:txbxContent>
                    <w:p w:rsidR="000B5505" w:rsidRPr="000B5505" w:rsidRDefault="000B5505" w:rsidP="000B5505">
                      <w:pPr>
                        <w:rPr>
                          <w:i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pt-BR"/>
                        </w:rPr>
                        <w:t>Rodrigo Silva Ferreira (Ari de Sá, Primeira Chance) and his mentor</w:t>
                      </w:r>
                      <w:r>
                        <w:rPr>
                          <w:i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  <w:lang w:val="pt-BR"/>
                        </w:rPr>
                        <w:t>Rainjade Chung (Harvard) enjoy their time at the Museu do Futebol.</w:t>
                      </w:r>
                    </w:p>
                  </w:txbxContent>
                </v:textbox>
              </v:shape>
            </w:pict>
          </mc:Fallback>
        </mc:AlternateContent>
      </w:r>
    </w:p>
    <w:p w:rsidR="008170BB" w:rsidRPr="00E12CDB" w:rsidRDefault="008170BB">
      <w:pPr>
        <w:rPr>
          <w:rFonts w:asciiTheme="minorHAnsi" w:hAnsiTheme="minorHAnsi"/>
          <w:noProof/>
          <w:lang w:eastAsia="pt-BR"/>
        </w:rPr>
      </w:pPr>
    </w:p>
    <w:p w:rsidR="008170BB" w:rsidRPr="00E12CDB" w:rsidRDefault="008170BB">
      <w:pPr>
        <w:rPr>
          <w:rFonts w:asciiTheme="minorHAnsi" w:hAnsiTheme="minorHAnsi"/>
          <w:noProof/>
          <w:lang w:eastAsia="pt-BR"/>
        </w:rPr>
      </w:pPr>
    </w:p>
    <w:p w:rsidR="008170BB" w:rsidRPr="00E12CDB" w:rsidRDefault="008170BB">
      <w:pPr>
        <w:rPr>
          <w:rFonts w:asciiTheme="minorHAnsi" w:hAnsiTheme="minorHAnsi"/>
          <w:noProof/>
          <w:lang w:eastAsia="pt-BR"/>
        </w:rPr>
      </w:pPr>
    </w:p>
    <w:p w:rsidR="008170BB" w:rsidRPr="00E12CDB" w:rsidRDefault="008170BB">
      <w:pPr>
        <w:rPr>
          <w:rFonts w:asciiTheme="minorHAnsi" w:hAnsiTheme="minorHAnsi"/>
          <w:noProof/>
          <w:lang w:eastAsia="pt-BR"/>
        </w:rPr>
      </w:pPr>
    </w:p>
    <w:p w:rsidR="008170BB" w:rsidRPr="00E12CDB" w:rsidRDefault="008170BB">
      <w:pPr>
        <w:rPr>
          <w:rFonts w:asciiTheme="minorHAnsi" w:hAnsiTheme="minorHAnsi"/>
          <w:noProof/>
          <w:lang w:eastAsia="pt-BR"/>
        </w:rPr>
      </w:pPr>
    </w:p>
    <w:p w:rsidR="008170BB" w:rsidRDefault="000B5505" w:rsidP="008170BB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3D328" wp14:editId="0AA86DFE">
                <wp:simplePos x="0" y="0"/>
                <wp:positionH relativeFrom="column">
                  <wp:posOffset>1907540</wp:posOffset>
                </wp:positionH>
                <wp:positionV relativeFrom="paragraph">
                  <wp:posOffset>1694181</wp:posOffset>
                </wp:positionV>
                <wp:extent cx="2552700" cy="438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505" w:rsidRPr="000B5505" w:rsidRDefault="000B5505" w:rsidP="000B550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550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MLAB participants pose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after an animated conversation with Jorge Paulo Lemann.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50.2pt;margin-top:133.4pt;width:201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" fillcolor="white [3201]" stroked="f" strokeweight=".5pt">
                <v:textbox>
                  <w:txbxContent>
                    <w:p w:rsidR="000B5505" w:rsidRPr="000B5505" w:rsidRDefault="000B5505" w:rsidP="000B550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B5505">
                        <w:rPr>
                          <w:i/>
                          <w:sz w:val="20"/>
                          <w:szCs w:val="20"/>
                        </w:rPr>
                        <w:t xml:space="preserve">MLAB participants pose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after an animated conversation with Jorge Paulo Lemann.</w:t>
                      </w:r>
                    </w:p>
                  </w:txbxContent>
                </v:textbox>
              </v:shape>
            </w:pict>
          </mc:Fallback>
        </mc:AlternateContent>
      </w:r>
      <w:r w:rsidR="008170BB">
        <w:rPr>
          <w:noProof/>
          <w:lang w:val="pt-BR" w:eastAsia="pt-BR"/>
        </w:rPr>
        <w:drawing>
          <wp:inline distT="0" distB="0" distL="0" distR="0">
            <wp:extent cx="6479540" cy="1430898"/>
            <wp:effectExtent l="38100" t="38100" r="35560" b="36195"/>
            <wp:docPr id="5" name="Picture 5" descr="https://fbcdn-sphotos-e-a.akamaihd.net/hphotos-ak-frc3/t1/1620809_721617277857200_964297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e-a.akamaihd.net/hphotos-ak-frc3/t1/1620809_721617277857200_964297160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43089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170BB" w:rsidSect="00FF4B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91"/>
    <w:rsid w:val="000A21DF"/>
    <w:rsid w:val="000B5505"/>
    <w:rsid w:val="000E1488"/>
    <w:rsid w:val="00107BDA"/>
    <w:rsid w:val="001137B8"/>
    <w:rsid w:val="001521D3"/>
    <w:rsid w:val="00157793"/>
    <w:rsid w:val="001755DA"/>
    <w:rsid w:val="001D5E08"/>
    <w:rsid w:val="001F410C"/>
    <w:rsid w:val="002708BD"/>
    <w:rsid w:val="002B0E11"/>
    <w:rsid w:val="002B779F"/>
    <w:rsid w:val="00341CDB"/>
    <w:rsid w:val="00361AD3"/>
    <w:rsid w:val="003B11EA"/>
    <w:rsid w:val="00441B78"/>
    <w:rsid w:val="004873B0"/>
    <w:rsid w:val="00583091"/>
    <w:rsid w:val="00607E19"/>
    <w:rsid w:val="006659EE"/>
    <w:rsid w:val="0067164A"/>
    <w:rsid w:val="0069761B"/>
    <w:rsid w:val="00727831"/>
    <w:rsid w:val="007470CB"/>
    <w:rsid w:val="007F0B83"/>
    <w:rsid w:val="008170BB"/>
    <w:rsid w:val="00834769"/>
    <w:rsid w:val="008A2589"/>
    <w:rsid w:val="0098433D"/>
    <w:rsid w:val="009D2D66"/>
    <w:rsid w:val="00A008CC"/>
    <w:rsid w:val="00A7580D"/>
    <w:rsid w:val="00A76491"/>
    <w:rsid w:val="00C236DA"/>
    <w:rsid w:val="00C50BC3"/>
    <w:rsid w:val="00C51A1B"/>
    <w:rsid w:val="00C75831"/>
    <w:rsid w:val="00CA6C1E"/>
    <w:rsid w:val="00D74C13"/>
    <w:rsid w:val="00E12CDB"/>
    <w:rsid w:val="00E2524E"/>
    <w:rsid w:val="00EC2D92"/>
    <w:rsid w:val="00F12B09"/>
    <w:rsid w:val="00FD3874"/>
    <w:rsid w:val="00FD66A0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91"/>
    <w:rPr>
      <w:rFonts w:eastAsia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91"/>
    <w:rPr>
      <w:rFonts w:ascii="Tahoma" w:eastAsia="Calibri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361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91"/>
    <w:rPr>
      <w:rFonts w:eastAsia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91"/>
    <w:rPr>
      <w:rFonts w:ascii="Tahoma" w:eastAsia="Calibri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36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HarvardUniversity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Isamar</dc:creator>
  <cp:lastModifiedBy>Isamar</cp:lastModifiedBy>
  <cp:revision>12</cp:revision>
  <dcterms:created xsi:type="dcterms:W3CDTF">2014-02-25T15:56:00Z</dcterms:created>
  <dcterms:modified xsi:type="dcterms:W3CDTF">2014-06-05T16:53:00Z</dcterms:modified>
</cp:coreProperties>
</file>